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8C959" w14:textId="30103F1A" w:rsidR="00F559EC" w:rsidRDefault="006577C3" w:rsidP="00DC2BB6">
      <w:pPr>
        <w:pStyle w:val="Nadpis1"/>
      </w:pPr>
      <w:r>
        <w:t>Příloha ke smlouvě č.</w:t>
      </w:r>
      <w:r w:rsidR="00866C2A">
        <w:t xml:space="preserve"> </w:t>
      </w:r>
      <w:bookmarkStart w:id="0" w:name="_GoBack"/>
      <w:bookmarkEnd w:id="0"/>
      <w:r w:rsidR="00866C2A">
        <w:t>3</w:t>
      </w:r>
    </w:p>
    <w:p w14:paraId="63B11F24" w14:textId="77777777" w:rsidR="006577C3" w:rsidRDefault="006577C3"/>
    <w:p w14:paraId="1D0490AE" w14:textId="016E3DE2" w:rsidR="006577C3" w:rsidRDefault="006577C3" w:rsidP="00DC2BB6">
      <w:pPr>
        <w:jc w:val="both"/>
      </w:pPr>
      <w:r>
        <w:t>Účelem této přílohy je definovat standardy pro připojení zdravotn</w:t>
      </w:r>
      <w:r w:rsidR="00FC23E2">
        <w:t>ické</w:t>
      </w:r>
      <w:r>
        <w:t xml:space="preserve"> techniky do IT prostředí Krajské zdravotní, a.s.</w:t>
      </w:r>
      <w:r w:rsidR="008E4CB5">
        <w:t xml:space="preserve"> (dále KZ)</w:t>
      </w:r>
      <w:r>
        <w:t xml:space="preserve"> tak</w:t>
      </w:r>
      <w:r w:rsidR="00875884">
        <w:t>,</w:t>
      </w:r>
      <w:r>
        <w:t xml:space="preserve"> aby byly dodrženy veškeré požadavky Úseku pro řízení informačních systémů.</w:t>
      </w:r>
    </w:p>
    <w:p w14:paraId="532F2C91" w14:textId="77777777" w:rsidR="006577C3" w:rsidRDefault="006577C3"/>
    <w:p w14:paraId="53CD89D8" w14:textId="77777777" w:rsidR="00DC2BB6" w:rsidRDefault="00DC2BB6" w:rsidP="00DC2BB6">
      <w:pPr>
        <w:pStyle w:val="Nadpis2"/>
      </w:pPr>
      <w:r>
        <w:t>Možnosti připojení</w:t>
      </w:r>
    </w:p>
    <w:p w14:paraId="0F2E1523" w14:textId="5EFC82E3" w:rsidR="006577C3" w:rsidRDefault="00DC2BB6" w:rsidP="00DC2BB6">
      <w:pPr>
        <w:jc w:val="both"/>
      </w:pPr>
      <w:r>
        <w:t xml:space="preserve">Připojení přístroje je do prostředí KZ možné dvěma způsoby - Připojení síťovým kabelem do TCP/IP sítě KZ a připojení přístroje přes RS232 který je dále připojen do TCP/IP pomocí převodníku. </w:t>
      </w:r>
      <w:r>
        <w:cr/>
      </w:r>
    </w:p>
    <w:p w14:paraId="75EDA83E" w14:textId="77777777" w:rsidR="00DC2BB6" w:rsidRDefault="00DC2BB6" w:rsidP="00DC2BB6">
      <w:pPr>
        <w:pStyle w:val="Nadpis3"/>
      </w:pPr>
      <w:r>
        <w:t>Připojení síťovým kabelem do TCP/IP sítě KZ</w:t>
      </w:r>
    </w:p>
    <w:p w14:paraId="395C4C22" w14:textId="661086C7" w:rsidR="00DC2BB6" w:rsidRDefault="00DC2BB6" w:rsidP="00DC2BB6">
      <w:pPr>
        <w:jc w:val="both"/>
      </w:pPr>
      <w:r>
        <w:t>U tohoto typu připojení je vyžadováno, aby zařízení</w:t>
      </w:r>
      <w:r w:rsidR="00077C69">
        <w:t xml:space="preserve"> </w:t>
      </w:r>
      <w:r>
        <w:t>nebo počítač, ke kterému je zařízení připojené</w:t>
      </w:r>
      <w:r w:rsidR="00077C69">
        <w:t>,</w:t>
      </w:r>
      <w:r>
        <w:t xml:space="preserve"> bylo připojitelné do domény kzcr.eu. Doména počítači zakazuje spouštět cokoliv se zvýšeným oprávněním, nedovoluje administrátorské účty, využívá antivirový systém KZ a aktualizace operačního systému se řídí politikou KZ. Aplikace do operačního systému (klienty, aplikace apod.) instalují výhradně technici KZ </w:t>
      </w:r>
      <w:r w:rsidR="00077C69">
        <w:t xml:space="preserve">na základě </w:t>
      </w:r>
      <w:r>
        <w:t xml:space="preserve">postupů </w:t>
      </w:r>
      <w:r w:rsidR="00077C69">
        <w:t xml:space="preserve">dodaných </w:t>
      </w:r>
      <w:r>
        <w:t>dodavatele. Možnosti komunikace následně jsou:</w:t>
      </w:r>
    </w:p>
    <w:p w14:paraId="24E186B3" w14:textId="77777777" w:rsidR="00DC2BB6" w:rsidRDefault="00DC2BB6" w:rsidP="00DC2BB6">
      <w:pPr>
        <w:jc w:val="both"/>
      </w:pPr>
      <w:r>
        <w:t>a) přímá komunikace s komunikačním serverem LIS</w:t>
      </w:r>
    </w:p>
    <w:p w14:paraId="7AF94C67" w14:textId="77777777" w:rsidR="00DC2BB6" w:rsidRDefault="00DC2BB6" w:rsidP="00DC2BB6">
      <w:pPr>
        <w:jc w:val="both"/>
      </w:pPr>
      <w:r>
        <w:t>b) souborová komunikace přes sdílené složky na úložištích KZ</w:t>
      </w:r>
    </w:p>
    <w:p w14:paraId="7A947C2B" w14:textId="77777777" w:rsidR="002C16F4" w:rsidRDefault="00DC2BB6" w:rsidP="00DC2BB6">
      <w:pPr>
        <w:jc w:val="both"/>
      </w:pPr>
      <w:r>
        <w:t>c) přímá komunikace s </w:t>
      </w:r>
      <w:r w:rsidR="00A42300">
        <w:t>komunikačním</w:t>
      </w:r>
      <w:r>
        <w:t xml:space="preserve"> serverem NIS</w:t>
      </w:r>
    </w:p>
    <w:p w14:paraId="48F50148" w14:textId="42509057" w:rsidR="00DC2BB6" w:rsidRDefault="002C16F4" w:rsidP="00DC2BB6">
      <w:pPr>
        <w:jc w:val="both"/>
      </w:pPr>
      <w:r>
        <w:t>d) přímá komunikace s PACS</w:t>
      </w:r>
    </w:p>
    <w:p w14:paraId="7A3EF65A" w14:textId="77777777" w:rsidR="00DC2BB6" w:rsidRDefault="00DC2BB6" w:rsidP="00DC2BB6">
      <w:pPr>
        <w:pStyle w:val="Nadpis3"/>
      </w:pPr>
    </w:p>
    <w:p w14:paraId="5C7DDAAC" w14:textId="368DCC38" w:rsidR="00DC2BB6" w:rsidRDefault="00DC2BB6" w:rsidP="00DC2BB6">
      <w:pPr>
        <w:pStyle w:val="Nadpis3"/>
      </w:pPr>
      <w:r>
        <w:t>Připojení přístroje přes RS</w:t>
      </w:r>
      <w:r w:rsidR="00EC2C8D">
        <w:t>-</w:t>
      </w:r>
      <w:r>
        <w:t>232 převodník</w:t>
      </w:r>
    </w:p>
    <w:p w14:paraId="633ADB9D" w14:textId="7C526372" w:rsidR="00DC2BB6" w:rsidRDefault="00DC2BB6" w:rsidP="00DC2BB6">
      <w:pPr>
        <w:jc w:val="both"/>
      </w:pPr>
      <w:r>
        <w:t>V případě, že technologie</w:t>
      </w:r>
      <w:r w:rsidR="00EC2C8D">
        <w:t xml:space="preserve"> dodavatele</w:t>
      </w:r>
      <w:r>
        <w:t xml:space="preserve"> nesplňuje parametry požadované pro přímé připojení do sítě KZ</w:t>
      </w:r>
      <w:r w:rsidR="00077C69">
        <w:t>,</w:t>
      </w:r>
      <w:r>
        <w:t xml:space="preserve"> musí být komunikace vedena prostřednictvím RS-232 protokolu. </w:t>
      </w:r>
      <w:r w:rsidR="00EC2BE2">
        <w:t xml:space="preserve">Dodavatel </w:t>
      </w:r>
      <w:r w:rsidR="00077C69">
        <w:t xml:space="preserve">jako </w:t>
      </w:r>
      <w:r w:rsidR="00EC2BE2">
        <w:t xml:space="preserve">součást svého řešení musí dodat i TCP/IP na RS-232 převodník. </w:t>
      </w:r>
      <w:r>
        <w:t xml:space="preserve">Požadovaný převodník je od výrobce </w:t>
      </w:r>
      <w:proofErr w:type="spellStart"/>
      <w:r>
        <w:t>Sollae</w:t>
      </w:r>
      <w:proofErr w:type="spellEnd"/>
      <w:r>
        <w:t xml:space="preserve"> Systems Co., LTD. – CSE-H53N (1 port) nebo CSE-H21 (2 porty). </w:t>
      </w:r>
      <w:r w:rsidR="00A42300">
        <w:t>V případě použití jiného převodníku musí splňovat shodné komunikační protokoly</w:t>
      </w:r>
      <w:r w:rsidR="00EC2BE2">
        <w:t xml:space="preserve">. </w:t>
      </w:r>
      <w:r>
        <w:t xml:space="preserve">Komunikace probíhá v síti KZ s přístrojem </w:t>
      </w:r>
      <w:r w:rsidR="00EC2BE2">
        <w:t>prostřednictvím</w:t>
      </w:r>
      <w:r>
        <w:t xml:space="preserve"> převodník</w:t>
      </w:r>
      <w:r w:rsidR="00EC2BE2">
        <w:t>u</w:t>
      </w:r>
      <w:r>
        <w:t>, tedy nemusí být v doméně kzcr.eu. Dodavatel má plná práva a správu PC / přístroje ve své gesci. Cokoliv za rozhraním RS</w:t>
      </w:r>
      <w:r w:rsidR="00EC2C8D">
        <w:t>-</w:t>
      </w:r>
      <w:r>
        <w:t>232 je výhradně v gesci KZ.</w:t>
      </w:r>
    </w:p>
    <w:p w14:paraId="6407FBC9" w14:textId="77777777" w:rsidR="00EC2BE2" w:rsidRDefault="00EC2BE2" w:rsidP="00DC2BB6">
      <w:pPr>
        <w:jc w:val="both"/>
      </w:pPr>
    </w:p>
    <w:p w14:paraId="2153417C" w14:textId="77777777" w:rsidR="00EC2BE2" w:rsidRDefault="00EC2BE2" w:rsidP="00EC2BE2">
      <w:pPr>
        <w:pStyle w:val="Nadpis2"/>
      </w:pPr>
      <w:r>
        <w:t>Postupy pro připojení přístroje</w:t>
      </w:r>
    </w:p>
    <w:p w14:paraId="1204085E" w14:textId="77777777" w:rsidR="00EC2BE2" w:rsidRDefault="00EC2BE2" w:rsidP="00EC2BE2">
      <w:pPr>
        <w:jc w:val="both"/>
      </w:pPr>
      <w:r>
        <w:t>Uvedené postupy se dělí dle zvoleného typu připojení výše:</w:t>
      </w:r>
    </w:p>
    <w:p w14:paraId="3FC1BB37" w14:textId="77777777" w:rsidR="00EC2BE2" w:rsidRDefault="00EC2BE2" w:rsidP="00EC2BE2">
      <w:pPr>
        <w:pStyle w:val="Nadpis3"/>
      </w:pPr>
      <w:r>
        <w:t>Připojení síťovým kabelem do TCP/IP sítě KZ</w:t>
      </w:r>
    </w:p>
    <w:p w14:paraId="0638083F" w14:textId="580C50BC" w:rsidR="00EC2BE2" w:rsidRDefault="00EC2BE2" w:rsidP="00EC2BE2">
      <w:pPr>
        <w:jc w:val="both"/>
      </w:pPr>
      <w:r>
        <w:t xml:space="preserve">Pro připojení přístroje do sítě KZ připraví dodavatel seznam aplikací, které je třeba instalovat, a jejich nastavení pro připojení přístroje. </w:t>
      </w:r>
      <w:r w:rsidR="007353E1">
        <w:t xml:space="preserve">Ke všem aplikacím, </w:t>
      </w:r>
      <w:r w:rsidR="00174260">
        <w:t xml:space="preserve">které budou na počítači či v přístroji nainstalovány, </w:t>
      </w:r>
      <w:r w:rsidR="007353E1">
        <w:t>včetně operačního systému, dodavatel ještě před jejich instalací dodá veškeré licenční materiály</w:t>
      </w:r>
      <w:r w:rsidR="00174260">
        <w:t xml:space="preserve"> (viz samostatný článek)</w:t>
      </w:r>
      <w:r w:rsidR="007353E1">
        <w:t xml:space="preserve">. </w:t>
      </w:r>
      <w:r>
        <w:t>Dodavatel zajistí v předstihu dodávku přístroje</w:t>
      </w:r>
      <w:r w:rsidR="00233380">
        <w:t xml:space="preserve"> (nebo počítače, ke kterému je přístroj připojen)</w:t>
      </w:r>
      <w:r>
        <w:t>, který požaduje vložit do domény. Za tímto účelem musí dodat i licenci operačního systému Microsoft Windows 10 Profes</w:t>
      </w:r>
      <w:r w:rsidR="005B7059">
        <w:t>s</w:t>
      </w:r>
      <w:r>
        <w:t>ional</w:t>
      </w:r>
      <w:r w:rsidR="001D5218">
        <w:t>,</w:t>
      </w:r>
      <w:r>
        <w:t xml:space="preserve"> a to pro každý </w:t>
      </w:r>
      <w:r w:rsidR="004015AC">
        <w:t>počítač</w:t>
      </w:r>
      <w:r>
        <w:t xml:space="preserve">, který požaduje vložit </w:t>
      </w:r>
      <w:r>
        <w:lastRenderedPageBreak/>
        <w:t xml:space="preserve">do domény. Pracovníci IT </w:t>
      </w:r>
      <w:r w:rsidR="009C77F5">
        <w:t xml:space="preserve">KZ </w:t>
      </w:r>
      <w:r>
        <w:t xml:space="preserve">následně </w:t>
      </w:r>
      <w:r w:rsidR="006D4770">
        <w:t>zajistí</w:t>
      </w:r>
      <w:r>
        <w:t xml:space="preserve"> připojení PC do domény</w:t>
      </w:r>
      <w:r w:rsidR="00AE3EC2">
        <w:t xml:space="preserve"> a</w:t>
      </w:r>
      <w:r>
        <w:t xml:space="preserve"> vlastní fyzické zapojení do sítě v místě instalace.</w:t>
      </w:r>
    </w:p>
    <w:p w14:paraId="2EA11581" w14:textId="77777777" w:rsidR="006D4770" w:rsidRDefault="006D4770" w:rsidP="00EC2BE2">
      <w:pPr>
        <w:jc w:val="both"/>
      </w:pPr>
    </w:p>
    <w:p w14:paraId="74C2CDAD" w14:textId="4E8C75CD" w:rsidR="006D4770" w:rsidRDefault="006D4770" w:rsidP="006D4770">
      <w:pPr>
        <w:pStyle w:val="Nadpis3"/>
      </w:pPr>
      <w:r>
        <w:t>Připojení přístroje přes RS</w:t>
      </w:r>
      <w:r w:rsidR="00EC2C8D">
        <w:t>-</w:t>
      </w:r>
      <w:r>
        <w:t>232 převodník</w:t>
      </w:r>
    </w:p>
    <w:p w14:paraId="7059618D" w14:textId="1D307696" w:rsidR="006D4770" w:rsidRDefault="006D4770" w:rsidP="006D4770">
      <w:pPr>
        <w:jc w:val="both"/>
      </w:pPr>
      <w:r>
        <w:t>Pro připojení pomocí převodníků připraví přístroj kompletně dodavatel a zajistí, že koncové zařízení bude komunikovat výhradně přes sériový port protokolem RS</w:t>
      </w:r>
      <w:r w:rsidR="00EC2C8D">
        <w:t>-</w:t>
      </w:r>
      <w:r>
        <w:t xml:space="preserve">232. </w:t>
      </w:r>
      <w:r w:rsidR="00D72AA6">
        <w:t>KZ požaduje, aby s</w:t>
      </w:r>
      <w:r>
        <w:t xml:space="preserve">oučástí dodávky </w:t>
      </w:r>
      <w:r w:rsidR="00D72AA6">
        <w:t xml:space="preserve">byl </w:t>
      </w:r>
      <w:r>
        <w:t>plný popis komunikačního protokolu a veške</w:t>
      </w:r>
      <w:r w:rsidR="004015AC">
        <w:t>r</w:t>
      </w:r>
      <w:r w:rsidR="00D72AA6">
        <w:t>é</w:t>
      </w:r>
      <w:r>
        <w:t xml:space="preserve"> licenc</w:t>
      </w:r>
      <w:r w:rsidR="00D72AA6">
        <w:t>e</w:t>
      </w:r>
      <w:r w:rsidR="004015AC">
        <w:t xml:space="preserve"> na užívání software</w:t>
      </w:r>
      <w:r w:rsidR="0060293C">
        <w:t>,</w:t>
      </w:r>
      <w:r>
        <w:t xml:space="preserve"> potřebn</w:t>
      </w:r>
      <w:r w:rsidR="00D72AA6">
        <w:t>é</w:t>
      </w:r>
      <w:r>
        <w:t xml:space="preserve"> pro použití přístroje.</w:t>
      </w:r>
      <w:r w:rsidRPr="006D4770">
        <w:t xml:space="preserve"> </w:t>
      </w:r>
    </w:p>
    <w:p w14:paraId="30005A3B" w14:textId="77777777" w:rsidR="006D4770" w:rsidRDefault="006D4770" w:rsidP="006D4770">
      <w:pPr>
        <w:jc w:val="both"/>
      </w:pPr>
    </w:p>
    <w:p w14:paraId="18925497" w14:textId="77777777" w:rsidR="006D4770" w:rsidRDefault="006D4770" w:rsidP="006D4770">
      <w:pPr>
        <w:pStyle w:val="Nadpis2"/>
      </w:pPr>
      <w:r>
        <w:t>Připojení přístroje do cílového informačního systému</w:t>
      </w:r>
    </w:p>
    <w:p w14:paraId="40C3DF73" w14:textId="6EA37A4D" w:rsidR="006D4770" w:rsidRDefault="006D4770" w:rsidP="006D4770">
      <w:pPr>
        <w:jc w:val="both"/>
      </w:pPr>
      <w:r>
        <w:t>Cílovým informačním systémem je v</w:t>
      </w:r>
      <w:r w:rsidR="00D72AA6">
        <w:t> </w:t>
      </w:r>
      <w:r>
        <w:t>K</w:t>
      </w:r>
      <w:r w:rsidR="00D72AA6">
        <w:t xml:space="preserve">Z </w:t>
      </w:r>
      <w:r>
        <w:t xml:space="preserve">myšleno několik systémů, které je možné s dodávanou technikou propojovat. Jedná se zejména o </w:t>
      </w:r>
      <w:r w:rsidR="00D93A97">
        <w:t xml:space="preserve">Laboratorní </w:t>
      </w:r>
      <w:r w:rsidR="00E64701">
        <w:t xml:space="preserve">a Nemocniční </w:t>
      </w:r>
      <w:r w:rsidR="00D93A97">
        <w:t>informační systémy: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78"/>
        <w:gridCol w:w="2493"/>
        <w:gridCol w:w="3991"/>
      </w:tblGrid>
      <w:tr w:rsidR="00D93A97" w14:paraId="6F120B25" w14:textId="77777777" w:rsidTr="00D93A97">
        <w:tc>
          <w:tcPr>
            <w:tcW w:w="3020" w:type="dxa"/>
            <w:shd w:val="clear" w:color="auto" w:fill="F2F2F2" w:themeFill="background1" w:themeFillShade="F2"/>
          </w:tcPr>
          <w:p w14:paraId="35601A44" w14:textId="77777777" w:rsidR="00D93A97" w:rsidRPr="00D93A97" w:rsidRDefault="00D93A97" w:rsidP="00D93A97">
            <w:pPr>
              <w:jc w:val="center"/>
              <w:rPr>
                <w:b/>
              </w:rPr>
            </w:pPr>
            <w:r w:rsidRPr="00D93A97">
              <w:rPr>
                <w:b/>
              </w:rPr>
              <w:t>Název systému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2DC743A" w14:textId="77777777" w:rsidR="00D93A97" w:rsidRPr="00D93A97" w:rsidRDefault="00D93A97" w:rsidP="00D93A97">
            <w:pPr>
              <w:jc w:val="center"/>
              <w:rPr>
                <w:b/>
              </w:rPr>
            </w:pPr>
            <w:r w:rsidRPr="00D93A97">
              <w:rPr>
                <w:b/>
              </w:rPr>
              <w:t>Dodavatel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1E63A087" w14:textId="77777777" w:rsidR="00D93A97" w:rsidRPr="00D93A97" w:rsidRDefault="00D93A97" w:rsidP="00D93A97">
            <w:pPr>
              <w:jc w:val="center"/>
              <w:rPr>
                <w:b/>
              </w:rPr>
            </w:pPr>
            <w:r w:rsidRPr="00D93A97">
              <w:rPr>
                <w:b/>
              </w:rPr>
              <w:t>WWW stránky</w:t>
            </w:r>
          </w:p>
        </w:tc>
      </w:tr>
      <w:tr w:rsidR="00D93A97" w14:paraId="610A3A90" w14:textId="77777777" w:rsidTr="00D93A97">
        <w:tc>
          <w:tcPr>
            <w:tcW w:w="3020" w:type="dxa"/>
          </w:tcPr>
          <w:p w14:paraId="22427BCF" w14:textId="77777777" w:rsidR="00D93A97" w:rsidRDefault="00D93A97" w:rsidP="00D93A97">
            <w:pPr>
              <w:jc w:val="center"/>
            </w:pPr>
            <w:r>
              <w:t>FONS OPENLIMS</w:t>
            </w:r>
          </w:p>
        </w:tc>
        <w:tc>
          <w:tcPr>
            <w:tcW w:w="3021" w:type="dxa"/>
          </w:tcPr>
          <w:p w14:paraId="6B94874B" w14:textId="77777777" w:rsidR="00D93A97" w:rsidRDefault="00D93A97" w:rsidP="00D93A97">
            <w:pPr>
              <w:jc w:val="center"/>
            </w:pPr>
            <w:r w:rsidRPr="00D93A97">
              <w:t>STAPRO s. r. o.</w:t>
            </w:r>
          </w:p>
        </w:tc>
        <w:tc>
          <w:tcPr>
            <w:tcW w:w="3021" w:type="dxa"/>
          </w:tcPr>
          <w:p w14:paraId="3C1732F2" w14:textId="77777777" w:rsidR="00D93A97" w:rsidRDefault="00D93A97" w:rsidP="00D93A97">
            <w:pPr>
              <w:jc w:val="center"/>
            </w:pPr>
            <w:r w:rsidRPr="00D93A97">
              <w:t>http://www.stapro.cz/produkty-fons/fons-openlims/</w:t>
            </w:r>
          </w:p>
        </w:tc>
      </w:tr>
      <w:tr w:rsidR="00D93A97" w14:paraId="5EA37952" w14:textId="77777777" w:rsidTr="00D93A97">
        <w:tc>
          <w:tcPr>
            <w:tcW w:w="3020" w:type="dxa"/>
          </w:tcPr>
          <w:p w14:paraId="60759F8B" w14:textId="77777777" w:rsidR="00D93A97" w:rsidRDefault="00D93A97" w:rsidP="00D93A97">
            <w:pPr>
              <w:jc w:val="center"/>
            </w:pPr>
            <w:r>
              <w:t>Mikrobiologie</w:t>
            </w:r>
          </w:p>
        </w:tc>
        <w:tc>
          <w:tcPr>
            <w:tcW w:w="3021" w:type="dxa"/>
          </w:tcPr>
          <w:p w14:paraId="1B7693A8" w14:textId="77777777" w:rsidR="00D93A97" w:rsidRDefault="00D93A97" w:rsidP="00D93A97">
            <w:pPr>
              <w:jc w:val="center"/>
            </w:pPr>
            <w:proofErr w:type="spellStart"/>
            <w:r>
              <w:t>Janiga</w:t>
            </w:r>
            <w:proofErr w:type="spellEnd"/>
            <w:r>
              <w:t xml:space="preserve"> </w:t>
            </w:r>
            <w:proofErr w:type="spellStart"/>
            <w:r>
              <w:t>Labs</w:t>
            </w:r>
            <w:proofErr w:type="spellEnd"/>
            <w:r>
              <w:t>, s.r.o.</w:t>
            </w:r>
          </w:p>
        </w:tc>
        <w:tc>
          <w:tcPr>
            <w:tcW w:w="3021" w:type="dxa"/>
          </w:tcPr>
          <w:p w14:paraId="2F0B46AF" w14:textId="77777777" w:rsidR="00D93A97" w:rsidRDefault="00D93A97" w:rsidP="00D93A97">
            <w:pPr>
              <w:jc w:val="center"/>
            </w:pPr>
            <w:r w:rsidRPr="00D93A97">
              <w:t>https://www.jlabs.cz/</w:t>
            </w:r>
          </w:p>
        </w:tc>
      </w:tr>
      <w:tr w:rsidR="00D93A97" w14:paraId="3347C063" w14:textId="77777777" w:rsidTr="00D93A97">
        <w:tc>
          <w:tcPr>
            <w:tcW w:w="3020" w:type="dxa"/>
          </w:tcPr>
          <w:p w14:paraId="40721F26" w14:textId="77777777" w:rsidR="00D93A97" w:rsidRDefault="00D93A97" w:rsidP="00D93A97">
            <w:pPr>
              <w:jc w:val="center"/>
            </w:pPr>
            <w:r>
              <w:t>Amadeus</w:t>
            </w:r>
          </w:p>
        </w:tc>
        <w:tc>
          <w:tcPr>
            <w:tcW w:w="3021" w:type="dxa"/>
          </w:tcPr>
          <w:p w14:paraId="7521BEE8" w14:textId="77777777" w:rsidR="00D93A97" w:rsidRDefault="00D93A97" w:rsidP="00D93A97">
            <w:pPr>
              <w:jc w:val="center"/>
            </w:pPr>
            <w:r>
              <w:t>Steiner, s.r.o.</w:t>
            </w:r>
          </w:p>
        </w:tc>
        <w:tc>
          <w:tcPr>
            <w:tcW w:w="3021" w:type="dxa"/>
          </w:tcPr>
          <w:p w14:paraId="2AA5BCC6" w14:textId="77777777" w:rsidR="00D93A97" w:rsidRDefault="00D93A97" w:rsidP="00D93A97">
            <w:pPr>
              <w:jc w:val="center"/>
            </w:pPr>
            <w:r w:rsidRPr="00D93A97">
              <w:t>http://www.steiner.cz/produkt-system-pro-rizeni-provozu-transfuznich-oddeleni</w:t>
            </w:r>
          </w:p>
        </w:tc>
      </w:tr>
      <w:tr w:rsidR="00D93A97" w14:paraId="74B9A5EC" w14:textId="77777777" w:rsidTr="00D93A97">
        <w:tc>
          <w:tcPr>
            <w:tcW w:w="3020" w:type="dxa"/>
          </w:tcPr>
          <w:p w14:paraId="62AC623D" w14:textId="77777777" w:rsidR="00D93A97" w:rsidRDefault="00D93A97" w:rsidP="00D93A97">
            <w:pPr>
              <w:jc w:val="center"/>
            </w:pPr>
            <w:r>
              <w:t>CATO</w:t>
            </w:r>
          </w:p>
        </w:tc>
        <w:tc>
          <w:tcPr>
            <w:tcW w:w="3021" w:type="dxa"/>
          </w:tcPr>
          <w:p w14:paraId="0A41BAEB" w14:textId="77777777" w:rsidR="00D93A97" w:rsidRDefault="00D93A97" w:rsidP="00D93A97">
            <w:pPr>
              <w:jc w:val="center"/>
            </w:pPr>
            <w:proofErr w:type="spellStart"/>
            <w:r w:rsidRPr="00D93A97">
              <w:t>Becton</w:t>
            </w:r>
            <w:proofErr w:type="spellEnd"/>
            <w:r w:rsidRPr="00D93A97">
              <w:t xml:space="preserve"> </w:t>
            </w:r>
            <w:proofErr w:type="spellStart"/>
            <w:r w:rsidRPr="00D93A97">
              <w:t>Dickinson</w:t>
            </w:r>
            <w:proofErr w:type="spellEnd"/>
            <w:r w:rsidRPr="00D93A97">
              <w:t xml:space="preserve"> </w:t>
            </w:r>
            <w:proofErr w:type="spellStart"/>
            <w:r w:rsidRPr="00D93A97">
              <w:t>Austria</w:t>
            </w:r>
            <w:proofErr w:type="spellEnd"/>
            <w:r w:rsidRPr="00D93A97">
              <w:t xml:space="preserve"> </w:t>
            </w:r>
            <w:proofErr w:type="spellStart"/>
            <w:r w:rsidRPr="00D93A97">
              <w:t>GmbH</w:t>
            </w:r>
            <w:proofErr w:type="spellEnd"/>
          </w:p>
        </w:tc>
        <w:tc>
          <w:tcPr>
            <w:tcW w:w="3021" w:type="dxa"/>
          </w:tcPr>
          <w:p w14:paraId="16AC8D69" w14:textId="77777777" w:rsidR="00D93A97" w:rsidRPr="00D93A97" w:rsidRDefault="00E64701" w:rsidP="00D93A97">
            <w:pPr>
              <w:jc w:val="center"/>
            </w:pPr>
            <w:r w:rsidRPr="00E64701">
              <w:t>https://cato.eu/index.php/cs/home</w:t>
            </w:r>
          </w:p>
        </w:tc>
      </w:tr>
      <w:tr w:rsidR="00E64701" w14:paraId="580D7C27" w14:textId="77777777" w:rsidTr="00D93A97">
        <w:tc>
          <w:tcPr>
            <w:tcW w:w="3020" w:type="dxa"/>
          </w:tcPr>
          <w:p w14:paraId="111F3218" w14:textId="77777777" w:rsidR="00E64701" w:rsidRDefault="00E64701" w:rsidP="00D93A97">
            <w:pPr>
              <w:jc w:val="center"/>
            </w:pPr>
            <w:r>
              <w:t xml:space="preserve">FONS </w:t>
            </w:r>
            <w:proofErr w:type="spellStart"/>
            <w:r>
              <w:t>Enterprise</w:t>
            </w:r>
            <w:proofErr w:type="spellEnd"/>
          </w:p>
        </w:tc>
        <w:tc>
          <w:tcPr>
            <w:tcW w:w="3021" w:type="dxa"/>
          </w:tcPr>
          <w:p w14:paraId="74D170CC" w14:textId="77777777" w:rsidR="00E64701" w:rsidRPr="00D93A97" w:rsidRDefault="00E64701" w:rsidP="00D93A97">
            <w:pPr>
              <w:jc w:val="center"/>
            </w:pPr>
            <w:r w:rsidRPr="00D93A97">
              <w:t>STAPRO s. r. o.</w:t>
            </w:r>
          </w:p>
        </w:tc>
        <w:tc>
          <w:tcPr>
            <w:tcW w:w="3021" w:type="dxa"/>
          </w:tcPr>
          <w:p w14:paraId="21E13726" w14:textId="6EB57FFD" w:rsidR="00E64701" w:rsidRPr="00E64701" w:rsidRDefault="00866C2A" w:rsidP="00D93A97">
            <w:pPr>
              <w:jc w:val="center"/>
            </w:pPr>
            <w:hyperlink r:id="rId9" w:history="1">
              <w:r w:rsidR="004C1EED" w:rsidRPr="00C10EBC">
                <w:rPr>
                  <w:rStyle w:val="Hypertextovodkaz"/>
                </w:rPr>
                <w:t>http://www.stapro.cz/produkty-fons/fons-enterprise/</w:t>
              </w:r>
            </w:hyperlink>
          </w:p>
        </w:tc>
      </w:tr>
      <w:tr w:rsidR="004C1EED" w14:paraId="25649962" w14:textId="77777777" w:rsidTr="00D93A97">
        <w:tc>
          <w:tcPr>
            <w:tcW w:w="3020" w:type="dxa"/>
          </w:tcPr>
          <w:p w14:paraId="10A69887" w14:textId="2BC53FB9" w:rsidR="004C1EED" w:rsidRDefault="004C1EED" w:rsidP="00D93A97">
            <w:pPr>
              <w:jc w:val="center"/>
            </w:pPr>
            <w:r>
              <w:t>Marie PACS</w:t>
            </w:r>
          </w:p>
        </w:tc>
        <w:tc>
          <w:tcPr>
            <w:tcW w:w="3021" w:type="dxa"/>
          </w:tcPr>
          <w:p w14:paraId="623629E4" w14:textId="12582768" w:rsidR="004C1EED" w:rsidRPr="00D93A97" w:rsidRDefault="004C1EED" w:rsidP="00D93A97">
            <w:pPr>
              <w:jc w:val="center"/>
            </w:pPr>
            <w:r>
              <w:t xml:space="preserve">ORCZ. </w:t>
            </w:r>
            <w:proofErr w:type="spellStart"/>
            <w:r>
              <w:t>Cz</w:t>
            </w:r>
            <w:proofErr w:type="spellEnd"/>
          </w:p>
        </w:tc>
        <w:tc>
          <w:tcPr>
            <w:tcW w:w="3021" w:type="dxa"/>
          </w:tcPr>
          <w:p w14:paraId="52F1E82B" w14:textId="3BC4BEB1" w:rsidR="004C1EED" w:rsidRDefault="004C1EED" w:rsidP="00D93A97">
            <w:pPr>
              <w:jc w:val="center"/>
            </w:pPr>
            <w:r w:rsidRPr="004C1EED">
              <w:t>https://www.orcz.cz/cs/produkty/marie-pacs</w:t>
            </w:r>
          </w:p>
        </w:tc>
      </w:tr>
      <w:tr w:rsidR="00F01814" w14:paraId="14A343C5" w14:textId="77777777" w:rsidTr="00D93A97">
        <w:tc>
          <w:tcPr>
            <w:tcW w:w="3020" w:type="dxa"/>
          </w:tcPr>
          <w:p w14:paraId="6A5888C5" w14:textId="76BE402E" w:rsidR="00F01814" w:rsidRDefault="00F01814" w:rsidP="00D93A97">
            <w:pPr>
              <w:jc w:val="center"/>
            </w:pPr>
            <w:r>
              <w:t>IS NEFRIS - Dialýza</w:t>
            </w:r>
          </w:p>
        </w:tc>
        <w:tc>
          <w:tcPr>
            <w:tcW w:w="3021" w:type="dxa"/>
          </w:tcPr>
          <w:p w14:paraId="6183CCB9" w14:textId="6CFA37F6" w:rsidR="00F01814" w:rsidRDefault="00F01814" w:rsidP="00D93A97">
            <w:pPr>
              <w:jc w:val="center"/>
            </w:pPr>
            <w:proofErr w:type="spellStart"/>
            <w:r>
              <w:t>Prodos</w:t>
            </w:r>
            <w:proofErr w:type="spellEnd"/>
            <w:r>
              <w:t xml:space="preserve"> s.r.o.</w:t>
            </w:r>
          </w:p>
        </w:tc>
        <w:tc>
          <w:tcPr>
            <w:tcW w:w="3021" w:type="dxa"/>
          </w:tcPr>
          <w:p w14:paraId="1851C946" w14:textId="19C8EEB0" w:rsidR="00F01814" w:rsidRPr="004C1EED" w:rsidRDefault="00F01814" w:rsidP="00D93A97">
            <w:pPr>
              <w:jc w:val="center"/>
            </w:pPr>
            <w:r w:rsidRPr="00F01814">
              <w:t>http://www.nefris.com/Pages/About.aspx</w:t>
            </w:r>
          </w:p>
        </w:tc>
      </w:tr>
      <w:tr w:rsidR="001D077F" w14:paraId="6DD34FCD" w14:textId="77777777" w:rsidTr="00D93A97">
        <w:tc>
          <w:tcPr>
            <w:tcW w:w="3020" w:type="dxa"/>
          </w:tcPr>
          <w:p w14:paraId="544B4FA7" w14:textId="5D575687" w:rsidR="001D077F" w:rsidRDefault="001D077F" w:rsidP="00D93A97">
            <w:pPr>
              <w:jc w:val="center"/>
            </w:pPr>
            <w:proofErr w:type="spellStart"/>
            <w:r>
              <w:t>Medix</w:t>
            </w:r>
            <w:proofErr w:type="spellEnd"/>
          </w:p>
        </w:tc>
        <w:tc>
          <w:tcPr>
            <w:tcW w:w="3021" w:type="dxa"/>
          </w:tcPr>
          <w:p w14:paraId="683B923B" w14:textId="5AFCC0A1" w:rsidR="001D077F" w:rsidRDefault="001D077F" w:rsidP="00D93A97">
            <w:pPr>
              <w:jc w:val="center"/>
            </w:pPr>
            <w:proofErr w:type="spellStart"/>
            <w:r>
              <w:t>Stapro</w:t>
            </w:r>
            <w:proofErr w:type="spellEnd"/>
            <w:r>
              <w:t>, s.r.o.</w:t>
            </w:r>
          </w:p>
        </w:tc>
        <w:tc>
          <w:tcPr>
            <w:tcW w:w="3021" w:type="dxa"/>
          </w:tcPr>
          <w:p w14:paraId="5065D619" w14:textId="78F44EA6" w:rsidR="001D077F" w:rsidRPr="00F01814" w:rsidRDefault="001D077F" w:rsidP="00D93A97">
            <w:pPr>
              <w:jc w:val="center"/>
            </w:pPr>
            <w:r w:rsidRPr="001D077F">
              <w:t>https://www.stapro.cz/</w:t>
            </w:r>
          </w:p>
        </w:tc>
      </w:tr>
    </w:tbl>
    <w:p w14:paraId="1860CBB9" w14:textId="77777777" w:rsidR="00E64701" w:rsidRDefault="00E64701" w:rsidP="006D4770">
      <w:pPr>
        <w:jc w:val="both"/>
      </w:pPr>
    </w:p>
    <w:p w14:paraId="443C7339" w14:textId="1E957D1F" w:rsidR="009C77F5" w:rsidRDefault="00E64701" w:rsidP="006D4770">
      <w:pPr>
        <w:jc w:val="both"/>
      </w:pPr>
      <w:r>
        <w:t>Dodavatel přístroje musí v rámci zakázky zajistit plné propojení s cílovým informačním systémem a to minimálně v rozsahu popsaného zadávací dokumentací a smlouvy. Formy možného přenosu dat jsou definovány výše.</w:t>
      </w:r>
    </w:p>
    <w:p w14:paraId="67EDD8AA" w14:textId="08D29032" w:rsidR="009C77F5" w:rsidRDefault="00A74A5F" w:rsidP="004C1EED">
      <w:pPr>
        <w:tabs>
          <w:tab w:val="left" w:pos="1710"/>
        </w:tabs>
        <w:jc w:val="both"/>
      </w:pPr>
      <w:r>
        <w:tab/>
      </w:r>
    </w:p>
    <w:p w14:paraId="10F27461" w14:textId="09556102" w:rsidR="00A74A5F" w:rsidRDefault="00A74A5F">
      <w:pPr>
        <w:pStyle w:val="Nadpis2"/>
      </w:pPr>
      <w:r>
        <w:t xml:space="preserve">Pravidla pro připojení do </w:t>
      </w:r>
      <w:r w:rsidR="004C1EED">
        <w:t xml:space="preserve">Maria </w:t>
      </w:r>
      <w:proofErr w:type="spellStart"/>
      <w:r>
        <w:t>PACs</w:t>
      </w:r>
      <w:proofErr w:type="spellEnd"/>
    </w:p>
    <w:p w14:paraId="4FBA48B0" w14:textId="38835C62" w:rsidR="00E3264D" w:rsidRDefault="00E3264D" w:rsidP="00E3264D"/>
    <w:p w14:paraId="227BEA47" w14:textId="51525BE9" w:rsidR="00E3264D" w:rsidRDefault="00E3264D" w:rsidP="00E3264D">
      <w:pPr>
        <w:pStyle w:val="Odstavecseseznamem"/>
        <w:numPr>
          <w:ilvl w:val="0"/>
          <w:numId w:val="4"/>
        </w:numPr>
      </w:pPr>
      <w:r>
        <w:t>Zařízení musí podporovat otevřený protokol DICOM</w:t>
      </w:r>
    </w:p>
    <w:p w14:paraId="2B7739C2" w14:textId="3CBA18FF" w:rsidR="004C1EED" w:rsidRDefault="004C1EED" w:rsidP="00E3264D">
      <w:pPr>
        <w:pStyle w:val="Odstavecseseznamem"/>
        <w:numPr>
          <w:ilvl w:val="0"/>
          <w:numId w:val="4"/>
        </w:numPr>
      </w:pPr>
      <w:r>
        <w:t xml:space="preserve">Zařízení musí podporovat jmennou konvenci pro </w:t>
      </w:r>
      <w:proofErr w:type="spellStart"/>
      <w:r>
        <w:t>AETitles</w:t>
      </w:r>
      <w:proofErr w:type="spellEnd"/>
      <w:r>
        <w:t xml:space="preserve"> používané v KZ, ve formátu „ZÁVOD-MODALITA-ODDĚLENÍ“</w:t>
      </w:r>
    </w:p>
    <w:p w14:paraId="5D7FD2FC" w14:textId="5EAF9578" w:rsidR="00A74A5F" w:rsidRDefault="00A74A5F" w:rsidP="004C1EED">
      <w:pPr>
        <w:tabs>
          <w:tab w:val="left" w:pos="1710"/>
        </w:tabs>
        <w:jc w:val="both"/>
      </w:pPr>
    </w:p>
    <w:p w14:paraId="2679C46A" w14:textId="22378C3D" w:rsidR="00BA2F24" w:rsidRDefault="00BA2F24" w:rsidP="004C1EED">
      <w:pPr>
        <w:tabs>
          <w:tab w:val="left" w:pos="1202"/>
        </w:tabs>
        <w:jc w:val="both"/>
      </w:pPr>
    </w:p>
    <w:p w14:paraId="0190C04A" w14:textId="2B15766D" w:rsidR="00A74A5F" w:rsidRDefault="00A74A5F" w:rsidP="004C1EED">
      <w:pPr>
        <w:pStyle w:val="Nadpis2"/>
      </w:pPr>
      <w:r>
        <w:t>Pravidla pro vzdálený přístup k zařízením</w:t>
      </w:r>
    </w:p>
    <w:p w14:paraId="27014055" w14:textId="1097DD27" w:rsidR="00A74A5F" w:rsidRDefault="00A74A5F" w:rsidP="004C1EED">
      <w:pPr>
        <w:tabs>
          <w:tab w:val="left" w:pos="1710"/>
        </w:tabs>
        <w:jc w:val="both"/>
      </w:pPr>
      <w:r>
        <w:t xml:space="preserve">KZ připouští </w:t>
      </w:r>
      <w:r w:rsidR="00B27227">
        <w:t>tři</w:t>
      </w:r>
      <w:r>
        <w:t xml:space="preserve"> možnosti pro vzdálený přístup dodavatele k dodanému zařízení</w:t>
      </w:r>
    </w:p>
    <w:p w14:paraId="6DF03D0B" w14:textId="3F0960C7" w:rsidR="00A74A5F" w:rsidRDefault="00A74A5F" w:rsidP="00032991">
      <w:pPr>
        <w:pStyle w:val="Odstavecseseznamem"/>
        <w:numPr>
          <w:ilvl w:val="0"/>
          <w:numId w:val="3"/>
        </w:numPr>
        <w:tabs>
          <w:tab w:val="left" w:pos="1710"/>
        </w:tabs>
        <w:jc w:val="both"/>
      </w:pPr>
      <w:r>
        <w:lastRenderedPageBreak/>
        <w:t>Preferovanou možností je vložení zařízení do domény jako standardní pracovní stanice nebo server společnosti KZ, a.s. Pro toto je třeba splnit požadavky</w:t>
      </w:r>
      <w:r w:rsidR="007C6FD9">
        <w:t>. Vzdálený přístup je možný pouze na server ne na koncovou stanici.</w:t>
      </w:r>
    </w:p>
    <w:p w14:paraId="127EADB0" w14:textId="50BD857A" w:rsidR="00A74A5F" w:rsidRDefault="00A74A5F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Podporovaný operační systém Microsoft Windows 10 Pro, Microsoft Windows Server 2016 spíše 2019</w:t>
      </w:r>
    </w:p>
    <w:p w14:paraId="1CC48BF9" w14:textId="4B7E802E" w:rsidR="00A74A5F" w:rsidRDefault="007C6FD9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Žádná aplikace nesmí pro běh vyžadovat administrátorské oprávnění</w:t>
      </w:r>
    </w:p>
    <w:p w14:paraId="59AFE203" w14:textId="7C6B9C5A" w:rsidR="007C6FD9" w:rsidRDefault="007C6FD9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Uživatelé zařízení budou pracovat výhradně pod doménovým účtem bez zvýšených oprávnění</w:t>
      </w:r>
    </w:p>
    <w:p w14:paraId="65AEC294" w14:textId="70CA6C26" w:rsidR="007C6FD9" w:rsidRDefault="007C6FD9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Zařízení nebude bránit aktualizacím operačního systému</w:t>
      </w:r>
      <w:r w:rsidR="00B27227">
        <w:t xml:space="preserve"> v souladu s politikou KZ</w:t>
      </w:r>
    </w:p>
    <w:p w14:paraId="66C3699D" w14:textId="392DC218" w:rsidR="007C6FD9" w:rsidRDefault="007C6FD9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Na zařízení bude nainstalován antivirus společnosti KZ.</w:t>
      </w:r>
    </w:p>
    <w:p w14:paraId="6507BF87" w14:textId="5223645C" w:rsidR="007C6FD9" w:rsidRDefault="007C6FD9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Na zařízení budou instalovány potřebné komponenty pro aktivní sběr logů a kybernetických bezpečnostních incidentů v souladu s požadavky zákona o Kybernetické bezpečnosti</w:t>
      </w:r>
    </w:p>
    <w:p w14:paraId="63E8C375" w14:textId="51B65C76" w:rsidR="00705B70" w:rsidRDefault="00705B70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U všech dodávaných technologií budou zohledněny všechny požadavky vyplívající z povinností daných zákonem o kybernetické bezpečnosti.</w:t>
      </w:r>
    </w:p>
    <w:p w14:paraId="245122F8" w14:textId="3EDEF9A6" w:rsidR="007C6FD9" w:rsidRDefault="007C6FD9" w:rsidP="00032991">
      <w:pPr>
        <w:tabs>
          <w:tab w:val="left" w:pos="1710"/>
        </w:tabs>
        <w:ind w:left="1080"/>
        <w:jc w:val="both"/>
      </w:pPr>
      <w:r>
        <w:t>Pro takto připojovaná zařízení společnost KZ, a.s. disponuje centrálním VPN řešením. Podmínky dále definovány (viz. „Správa přístroje a vzdálený přístup k přístroji dodavatel“.</w:t>
      </w:r>
    </w:p>
    <w:p w14:paraId="716CF190" w14:textId="591CA2AE" w:rsidR="00A74A5F" w:rsidRDefault="007C6FD9" w:rsidP="00032991">
      <w:pPr>
        <w:pStyle w:val="Odstavecseseznamem"/>
        <w:numPr>
          <w:ilvl w:val="0"/>
          <w:numId w:val="3"/>
        </w:numPr>
        <w:tabs>
          <w:tab w:val="left" w:pos="1710"/>
        </w:tabs>
        <w:jc w:val="both"/>
      </w:pPr>
      <w:r>
        <w:t xml:space="preserve">VPN přístup </w:t>
      </w:r>
      <w:r w:rsidR="00B27227">
        <w:t>mimo doménu KZ</w:t>
      </w:r>
      <w:r w:rsidR="00032991">
        <w:t xml:space="preserve"> – vlastní v-lan síť</w:t>
      </w:r>
      <w:r w:rsidR="00B27227">
        <w:t xml:space="preserve">, </w:t>
      </w:r>
      <w:r>
        <w:t>podmínky pro přístup dodavatele směrem do internetu (odchozí provoz).</w:t>
      </w:r>
    </w:p>
    <w:p w14:paraId="395F3681" w14:textId="0BB36290" w:rsidR="007C6FD9" w:rsidRDefault="007C6FD9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V případě požadavku na odchozí spojení – dodavatel předá technickou dokumentaci popisující technologii odchozího spojení a data, která budou přenášena, včetně seznamu adres serverů, které budou kontaktovány a port použitý pro spojení.</w:t>
      </w:r>
    </w:p>
    <w:p w14:paraId="12D7035B" w14:textId="4F59562F" w:rsidR="001308F3" w:rsidRDefault="007C6FD9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KZ negarantuje žádné SLA na odchozí spojení směrem do internetu.</w:t>
      </w:r>
    </w:p>
    <w:p w14:paraId="059CE865" w14:textId="7391DF02" w:rsidR="00B27227" w:rsidRDefault="001308F3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KZ</w:t>
      </w:r>
      <w:r w:rsidR="008A59C2">
        <w:t xml:space="preserve"> </w:t>
      </w:r>
      <w:r>
        <w:t>preferuje maximální využití DMZ a segmentaci sítě s minimálním přístupem zařízení dodavatelů do datové sítě KZ,</w:t>
      </w:r>
      <w:r w:rsidR="009D7D50">
        <w:t xml:space="preserve"> </w:t>
      </w:r>
      <w:r>
        <w:t>a.s.</w:t>
      </w:r>
    </w:p>
    <w:p w14:paraId="2C6517ED" w14:textId="4F198ED3" w:rsidR="001308F3" w:rsidRDefault="00B27227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V případě propojení s datovou sítí KZ je možné jen přes protokol DICOM</w:t>
      </w:r>
      <w:r w:rsidR="00032991">
        <w:t>, nebo převodníkem RS-232</w:t>
      </w:r>
      <w:r>
        <w:t>.</w:t>
      </w:r>
    </w:p>
    <w:p w14:paraId="109C0D62" w14:textId="4585C02F" w:rsidR="00705B70" w:rsidRDefault="00705B70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 xml:space="preserve">Zařízení musí podporovat jmennou konvenci pro </w:t>
      </w:r>
      <w:proofErr w:type="spellStart"/>
      <w:r>
        <w:t>AETitles</w:t>
      </w:r>
      <w:proofErr w:type="spellEnd"/>
      <w:r>
        <w:t xml:space="preserve"> používané v KZ, ve formátu „ZÁVOD-MODALITA-ODDĚLENÍ“</w:t>
      </w:r>
    </w:p>
    <w:p w14:paraId="16CC49CA" w14:textId="243032B6" w:rsidR="00787E50" w:rsidRDefault="00032991" w:rsidP="00E2274F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Pokud to zařízení umožňuje</w:t>
      </w:r>
      <w:r w:rsidR="00A55C1B">
        <w:t>,</w:t>
      </w:r>
      <w:r>
        <w:t xml:space="preserve"> musí na něm běžet antivir.</w:t>
      </w:r>
      <w:r w:rsidR="007C6FD9">
        <w:t xml:space="preserve"> </w:t>
      </w:r>
    </w:p>
    <w:p w14:paraId="5A74790F" w14:textId="2A04CB64" w:rsidR="00705B70" w:rsidRDefault="00705B70" w:rsidP="00E2274F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 xml:space="preserve">Pokud to </w:t>
      </w:r>
      <w:r w:rsidR="00032991">
        <w:t>zařízení</w:t>
      </w:r>
      <w:r>
        <w:t xml:space="preserve"> </w:t>
      </w:r>
      <w:r w:rsidR="009D7D50">
        <w:t>umožňuje, bude</w:t>
      </w:r>
      <w:r>
        <w:t xml:space="preserve">  KZ preferovat</w:t>
      </w:r>
      <w:r w:rsidR="007C6FD9">
        <w:t xml:space="preserve"> instal</w:t>
      </w:r>
      <w:r>
        <w:t>aci</w:t>
      </w:r>
      <w:r w:rsidR="007C6FD9">
        <w:t xml:space="preserve"> potřebn</w:t>
      </w:r>
      <w:r>
        <w:t>ých</w:t>
      </w:r>
      <w:r w:rsidR="007C6FD9">
        <w:t xml:space="preserve"> komponent</w:t>
      </w:r>
      <w:r w:rsidR="00032991">
        <w:t xml:space="preserve"> </w:t>
      </w:r>
      <w:r w:rsidR="007C6FD9">
        <w:t>pro aktivní sběr logů a kybernetických bezpečnostních incidentů v souladu s požadavky zákona o Kybernetické bezpečnosti</w:t>
      </w:r>
    </w:p>
    <w:p w14:paraId="452A2524" w14:textId="77777777" w:rsidR="00705B70" w:rsidRDefault="00705B70" w:rsidP="00705B70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U všech dodávaných technologií budou zohledněny všechny požadavky vyplívající z povinností daných zákonem o kybernetické bezpečnosti.</w:t>
      </w:r>
    </w:p>
    <w:p w14:paraId="654DC90B" w14:textId="77777777" w:rsidR="00705B70" w:rsidRDefault="00705B70" w:rsidP="00032991">
      <w:pPr>
        <w:pStyle w:val="Odstavecseseznamem"/>
        <w:tabs>
          <w:tab w:val="left" w:pos="1710"/>
        </w:tabs>
        <w:ind w:left="1440"/>
        <w:jc w:val="both"/>
      </w:pPr>
    </w:p>
    <w:p w14:paraId="48BA35BC" w14:textId="2C7F9197" w:rsidR="00705B70" w:rsidRDefault="00705B70" w:rsidP="00705B70">
      <w:pPr>
        <w:pStyle w:val="Odstavecseseznamem"/>
        <w:numPr>
          <w:ilvl w:val="0"/>
          <w:numId w:val="3"/>
        </w:numPr>
        <w:tabs>
          <w:tab w:val="left" w:pos="1710"/>
        </w:tabs>
        <w:jc w:val="both"/>
      </w:pPr>
      <w:r>
        <w:t>Zařízení nemá požadavky na žádné propojení s datovou sítí KZ:</w:t>
      </w:r>
    </w:p>
    <w:p w14:paraId="56011EE7" w14:textId="7455E720" w:rsidR="00032991" w:rsidRDefault="00032991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Dodavatel předá technickou dokumentaci popisující technologii odchozího spojení a data, která budou přenášena, včetně seznamu adres serverů, které budou kontaktovány a port použitý pro spojení.</w:t>
      </w:r>
    </w:p>
    <w:p w14:paraId="4CC076D7" w14:textId="14B09998" w:rsidR="00705B70" w:rsidRDefault="00705B70" w:rsidP="00705B70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Dodavatel si dodá vše potřebné pro připojení k internetu.</w:t>
      </w:r>
    </w:p>
    <w:p w14:paraId="08B34AD2" w14:textId="23B765E1" w:rsidR="00705B70" w:rsidRDefault="00705B70" w:rsidP="00705B70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 xml:space="preserve">KZ </w:t>
      </w:r>
      <w:r w:rsidR="00032991">
        <w:t xml:space="preserve">mu </w:t>
      </w:r>
      <w:r>
        <w:t>poskytne jen připojení do internetu bez SLA.</w:t>
      </w:r>
    </w:p>
    <w:p w14:paraId="42A72C55" w14:textId="3C522458" w:rsidR="007C6FD9" w:rsidRDefault="00705B70" w:rsidP="00032991">
      <w:pPr>
        <w:pStyle w:val="Odstavecseseznamem"/>
        <w:numPr>
          <w:ilvl w:val="1"/>
          <w:numId w:val="3"/>
        </w:numPr>
        <w:tabs>
          <w:tab w:val="left" w:pos="1710"/>
        </w:tabs>
        <w:jc w:val="both"/>
      </w:pPr>
      <w:r>
        <w:t>Technologie nebude mít žádné propojení s datovou sítí KZ.</w:t>
      </w:r>
    </w:p>
    <w:p w14:paraId="0D437572" w14:textId="77777777" w:rsidR="001308F3" w:rsidRDefault="001308F3" w:rsidP="005677B4">
      <w:pPr>
        <w:pStyle w:val="Nadpis2"/>
      </w:pPr>
    </w:p>
    <w:p w14:paraId="77C40EEA" w14:textId="0C169D89" w:rsidR="001308F3" w:rsidRDefault="001308F3" w:rsidP="005677B4">
      <w:pPr>
        <w:pStyle w:val="Nadpis2"/>
      </w:pPr>
      <w:r>
        <w:t xml:space="preserve">Podklady k připojení zařízení </w:t>
      </w:r>
    </w:p>
    <w:p w14:paraId="5AA64F7C" w14:textId="77777777" w:rsidR="001308F3" w:rsidRDefault="001308F3" w:rsidP="005677B4"/>
    <w:p w14:paraId="4A528A0A" w14:textId="15A9CFA6" w:rsidR="001308F3" w:rsidRDefault="001308F3" w:rsidP="009D7D50">
      <w:pPr>
        <w:jc w:val="both"/>
      </w:pPr>
      <w:r>
        <w:lastRenderedPageBreak/>
        <w:t xml:space="preserve">Dodavatel musí poskytnout přesnou specifikaci požadovaného připojení.  Jasně </w:t>
      </w:r>
      <w:r w:rsidR="009D7D50">
        <w:t>popíše, co</w:t>
      </w:r>
      <w:r>
        <w:t xml:space="preserve"> bude přistupovat do datové sítě KZ</w:t>
      </w:r>
      <w:r w:rsidR="00BA2F24">
        <w:t>.</w:t>
      </w:r>
      <w:r w:rsidR="00F60C74">
        <w:t xml:space="preserve"> </w:t>
      </w:r>
      <w:r w:rsidR="00BA2F24">
        <w:t>J</w:t>
      </w:r>
      <w:r w:rsidR="00F60C74">
        <w:t>aká zařízení budou dodána.  D</w:t>
      </w:r>
      <w:r>
        <w:t>efinuje požadavky, které jsou konkrétně k připojení vyžadovány (není možné poskytnout jen technickou dokumentaci dodávaného zařízení</w:t>
      </w:r>
      <w:r w:rsidR="00F60C74">
        <w:t>)</w:t>
      </w:r>
      <w:r>
        <w:t>.</w:t>
      </w:r>
      <w:r w:rsidR="00AE3EC2">
        <w:t xml:space="preserve"> Dodavatel poskytne blokové schéma zapojení dodaného </w:t>
      </w:r>
      <w:r w:rsidR="009D7D50">
        <w:t>zařízení, včetně</w:t>
      </w:r>
      <w:r w:rsidR="00AE3EC2">
        <w:t xml:space="preserve"> popisu síťové komunikace a potřebných protokolů.</w:t>
      </w:r>
    </w:p>
    <w:p w14:paraId="76F6AC8C" w14:textId="532BD264" w:rsidR="001308F3" w:rsidRDefault="001308F3" w:rsidP="009D7D50">
      <w:pPr>
        <w:jc w:val="both"/>
      </w:pPr>
      <w:r>
        <w:t>Dodavatel popíše požadavky na stavební připravenost pro připojení přístroje</w:t>
      </w:r>
      <w:r w:rsidR="00BA2F24">
        <w:t xml:space="preserve"> (zařízení)</w:t>
      </w:r>
      <w:r>
        <w:t>, včetně potřebných podpůrných technolog</w:t>
      </w:r>
      <w:r w:rsidR="00F60C74">
        <w:t>i</w:t>
      </w:r>
      <w:r>
        <w:t>í (datová síť, počty datových zásuvek pro připojení atd.)</w:t>
      </w:r>
    </w:p>
    <w:p w14:paraId="36B0108B" w14:textId="77777777" w:rsidR="001308F3" w:rsidRPr="001308F3" w:rsidRDefault="001308F3" w:rsidP="005677B4"/>
    <w:p w14:paraId="21FC30DC" w14:textId="2D0746F5" w:rsidR="00E64701" w:rsidRDefault="007353E1" w:rsidP="005677B4">
      <w:pPr>
        <w:pStyle w:val="Nadpis2"/>
      </w:pPr>
      <w:r>
        <w:t>Podklady k licencím na užívání software</w:t>
      </w:r>
    </w:p>
    <w:p w14:paraId="62EB28E2" w14:textId="33819007" w:rsidR="007353E1" w:rsidRDefault="00174260" w:rsidP="006D4770">
      <w:pPr>
        <w:jc w:val="both"/>
      </w:pPr>
      <w:r>
        <w:t xml:space="preserve">Dodavatel </w:t>
      </w:r>
      <w:r w:rsidR="009C77F5">
        <w:t>současně s</w:t>
      </w:r>
      <w:r w:rsidR="00EC2C8D">
        <w:t xml:space="preserve">e seznamem aplikací </w:t>
      </w:r>
      <w:r w:rsidR="00077C69">
        <w:t xml:space="preserve">a </w:t>
      </w:r>
      <w:r w:rsidR="00EC2C8D">
        <w:t xml:space="preserve">operačních systémů, které je třeba instalovat, a s popisem jejich nastavení pro připojení přístroje </w:t>
      </w:r>
      <w:r w:rsidR="009C77F5">
        <w:t>dodá pro všechny licence na užívání software</w:t>
      </w:r>
      <w:r w:rsidR="00EC2C8D">
        <w:t>, potřebné pro provozování</w:t>
      </w:r>
      <w:r w:rsidR="00077C69">
        <w:t xml:space="preserve"> požadovaných</w:t>
      </w:r>
      <w:r w:rsidR="00EC2C8D">
        <w:t xml:space="preserve"> aplikací</w:t>
      </w:r>
      <w:r w:rsidR="00077C69">
        <w:t xml:space="preserve"> a operačních systémů</w:t>
      </w:r>
      <w:r w:rsidR="00EC2C8D">
        <w:t>,</w:t>
      </w:r>
      <w:r w:rsidR="009C77F5">
        <w:t xml:space="preserve"> platné </w:t>
      </w:r>
      <w:r w:rsidR="007A1277" w:rsidRPr="00EC03BF">
        <w:t xml:space="preserve">licenční </w:t>
      </w:r>
      <w:r w:rsidR="002F1010">
        <w:t xml:space="preserve">ujednání </w:t>
      </w:r>
      <w:r w:rsidR="007A1277" w:rsidRPr="00EC03BF">
        <w:t>a všechny licenční materiály, které jsou součástí dané licence</w:t>
      </w:r>
      <w:r w:rsidR="007A1277">
        <w:t xml:space="preserve"> na užívání software</w:t>
      </w:r>
      <w:r w:rsidR="007A1277" w:rsidRPr="00EC03BF">
        <w:t xml:space="preserve"> (licenční číslo, licenční klíč, licenční certifikát, licenční oprávnění, štítek prokazující pravost licence</w:t>
      </w:r>
      <w:r w:rsidR="007A1277">
        <w:t xml:space="preserve"> na užívání software</w:t>
      </w:r>
      <w:r w:rsidR="007A1277" w:rsidRPr="00EC03BF">
        <w:t>, instalační média, hardwarový klíč, dokumentace vztahující se k</w:t>
      </w:r>
      <w:r w:rsidR="007A1277">
        <w:t> </w:t>
      </w:r>
      <w:r w:rsidR="007A1277" w:rsidRPr="00EC03BF">
        <w:t>licenci</w:t>
      </w:r>
      <w:r w:rsidR="007A1277">
        <w:t xml:space="preserve"> na užívání software</w:t>
      </w:r>
      <w:r w:rsidR="007A1277" w:rsidRPr="00EC03BF">
        <w:t xml:space="preserve"> apod.).</w:t>
      </w:r>
    </w:p>
    <w:p w14:paraId="0A93E75C" w14:textId="64AFA8AB" w:rsidR="002F1010" w:rsidRDefault="002F1010" w:rsidP="006D4770">
      <w:pPr>
        <w:jc w:val="both"/>
      </w:pPr>
      <w:r>
        <w:t xml:space="preserve">Pokud je v době </w:t>
      </w:r>
      <w:r w:rsidR="00EC2C8D">
        <w:t xml:space="preserve">předkládání seznamu aplikací </w:t>
      </w:r>
      <w:r>
        <w:t>již vystavena faktura nebo dodací list, předloží dodavatel jejich kopie jako součást licenčních materiálů.</w:t>
      </w:r>
    </w:p>
    <w:p w14:paraId="7B05E4A4" w14:textId="77777777" w:rsidR="001308F3" w:rsidRDefault="001308F3" w:rsidP="006D4770">
      <w:pPr>
        <w:jc w:val="both"/>
      </w:pPr>
    </w:p>
    <w:p w14:paraId="728C5272" w14:textId="77777777" w:rsidR="00E64701" w:rsidRDefault="00E64701" w:rsidP="00E64701">
      <w:pPr>
        <w:pStyle w:val="Nadpis2"/>
      </w:pPr>
      <w:r w:rsidRPr="00E64701">
        <w:t>Správa přístroje a vzdálený přístup k přístroji dodavatelem</w:t>
      </w:r>
    </w:p>
    <w:p w14:paraId="323B2BAC" w14:textId="4DCC3218" w:rsidR="005B7059" w:rsidRDefault="00E64701" w:rsidP="005F0975">
      <w:pPr>
        <w:pStyle w:val="Normln1"/>
        <w:suppressLineNumbers/>
        <w:spacing w:line="276" w:lineRule="auto"/>
        <w:jc w:val="both"/>
        <w:rPr>
          <w:rFonts w:ascii="Calibri" w:hAnsi="Calibri"/>
          <w:sz w:val="22"/>
          <w:szCs w:val="22"/>
        </w:rPr>
      </w:pPr>
      <w:r w:rsidRPr="005677B4">
        <w:rPr>
          <w:rFonts w:asciiTheme="minorHAnsi" w:hAnsiTheme="minorHAnsi" w:cstheme="minorHAnsi"/>
          <w:sz w:val="22"/>
          <w:szCs w:val="22"/>
        </w:rPr>
        <w:t xml:space="preserve">Dodavatel má možnost zařízení připojené do domény KZ spravovat </w:t>
      </w:r>
      <w:r w:rsidRPr="005F0975">
        <w:rPr>
          <w:rFonts w:asciiTheme="minorHAnsi" w:hAnsiTheme="minorHAnsi" w:cstheme="minorHAnsi"/>
          <w:sz w:val="22"/>
          <w:szCs w:val="22"/>
        </w:rPr>
        <w:t xml:space="preserve">vzdáleně. Za tímto účelem </w:t>
      </w:r>
      <w:r w:rsidR="008E4CB5" w:rsidRPr="005F0975">
        <w:rPr>
          <w:rFonts w:asciiTheme="minorHAnsi" w:hAnsiTheme="minorHAnsi" w:cstheme="minorHAnsi"/>
          <w:sz w:val="22"/>
          <w:szCs w:val="22"/>
        </w:rPr>
        <w:t>KZ umožní dodavateli</w:t>
      </w:r>
      <w:r w:rsidRPr="005F0975">
        <w:rPr>
          <w:rFonts w:asciiTheme="minorHAnsi" w:hAnsiTheme="minorHAnsi" w:cstheme="minorHAnsi"/>
          <w:sz w:val="22"/>
          <w:szCs w:val="22"/>
        </w:rPr>
        <w:t xml:space="preserve"> </w:t>
      </w:r>
      <w:r w:rsidR="008E4CB5" w:rsidRPr="005F0975">
        <w:rPr>
          <w:rFonts w:asciiTheme="minorHAnsi" w:hAnsiTheme="minorHAnsi" w:cstheme="minorHAnsi"/>
          <w:sz w:val="22"/>
          <w:szCs w:val="22"/>
        </w:rPr>
        <w:t xml:space="preserve">využít </w:t>
      </w:r>
      <w:r w:rsidRPr="005F0975">
        <w:rPr>
          <w:rFonts w:asciiTheme="minorHAnsi" w:hAnsiTheme="minorHAnsi" w:cstheme="minorHAnsi"/>
          <w:sz w:val="22"/>
          <w:szCs w:val="22"/>
        </w:rPr>
        <w:t>licence</w:t>
      </w:r>
      <w:r w:rsidR="008E4CB5" w:rsidRPr="005F0975">
        <w:rPr>
          <w:rFonts w:asciiTheme="minorHAnsi" w:hAnsiTheme="minorHAnsi" w:cstheme="minorHAnsi"/>
          <w:sz w:val="22"/>
          <w:szCs w:val="22"/>
        </w:rPr>
        <w:t xml:space="preserve"> </w:t>
      </w:r>
      <w:r w:rsidRPr="005F0975">
        <w:rPr>
          <w:rFonts w:asciiTheme="minorHAnsi" w:hAnsiTheme="minorHAnsi" w:cstheme="minorHAnsi"/>
          <w:sz w:val="22"/>
          <w:szCs w:val="22"/>
        </w:rPr>
        <w:t xml:space="preserve">pro vzdálený přístup </w:t>
      </w:r>
      <w:r w:rsidR="008E4CB5" w:rsidRPr="005F0975">
        <w:rPr>
          <w:rFonts w:asciiTheme="minorHAnsi" w:hAnsiTheme="minorHAnsi" w:cstheme="minorHAnsi"/>
          <w:sz w:val="22"/>
          <w:szCs w:val="22"/>
        </w:rPr>
        <w:t xml:space="preserve">prostřednictvím </w:t>
      </w:r>
      <w:r w:rsidRPr="005F0975">
        <w:rPr>
          <w:rFonts w:asciiTheme="minorHAnsi" w:hAnsiTheme="minorHAnsi" w:cstheme="minorHAnsi"/>
          <w:sz w:val="22"/>
          <w:szCs w:val="22"/>
        </w:rPr>
        <w:t>VPN</w:t>
      </w:r>
      <w:r w:rsidR="008E4CB5" w:rsidRPr="005F0975">
        <w:rPr>
          <w:rFonts w:asciiTheme="minorHAnsi" w:hAnsiTheme="minorHAnsi" w:cstheme="minorHAnsi"/>
          <w:sz w:val="22"/>
          <w:szCs w:val="22"/>
        </w:rPr>
        <w:t xml:space="preserve"> pro maximálně dva zaměstnance dodavatele, a to na základě Dohod o využívání vzdáleného připojení do počítačové sítě KZ, uzavřených mezi KZ a </w:t>
      </w:r>
      <w:r w:rsidR="008E4CB5">
        <w:rPr>
          <w:rFonts w:asciiTheme="minorHAnsi" w:hAnsiTheme="minorHAnsi" w:cstheme="minorHAnsi"/>
          <w:sz w:val="22"/>
          <w:szCs w:val="22"/>
        </w:rPr>
        <w:t>d</w:t>
      </w:r>
      <w:r w:rsidR="008E4CB5" w:rsidRPr="005F0975">
        <w:rPr>
          <w:rFonts w:asciiTheme="minorHAnsi" w:hAnsiTheme="minorHAnsi" w:cstheme="minorHAnsi"/>
          <w:sz w:val="22"/>
          <w:szCs w:val="22"/>
        </w:rPr>
        <w:t xml:space="preserve">odavatelem stanovenými zaměstnanci </w:t>
      </w:r>
      <w:r w:rsidR="008E4CB5">
        <w:rPr>
          <w:rFonts w:asciiTheme="minorHAnsi" w:hAnsiTheme="minorHAnsi" w:cstheme="minorHAnsi"/>
          <w:sz w:val="22"/>
          <w:szCs w:val="22"/>
        </w:rPr>
        <w:t>d</w:t>
      </w:r>
      <w:r w:rsidR="008E4CB5" w:rsidRPr="005F0975">
        <w:rPr>
          <w:rFonts w:asciiTheme="minorHAnsi" w:hAnsiTheme="minorHAnsi" w:cstheme="minorHAnsi"/>
          <w:sz w:val="22"/>
          <w:szCs w:val="22"/>
        </w:rPr>
        <w:t>odavatele.</w:t>
      </w:r>
      <w:r w:rsidRPr="005F0975">
        <w:rPr>
          <w:rFonts w:asciiTheme="minorHAnsi" w:hAnsiTheme="minorHAnsi" w:cstheme="minorHAnsi"/>
          <w:sz w:val="22"/>
          <w:szCs w:val="22"/>
        </w:rPr>
        <w:t xml:space="preserve"> </w:t>
      </w:r>
      <w:r w:rsidR="008E4CB5" w:rsidRPr="005F0975">
        <w:rPr>
          <w:rFonts w:asciiTheme="minorHAnsi" w:hAnsiTheme="minorHAnsi" w:cstheme="minorHAnsi"/>
          <w:sz w:val="22"/>
          <w:szCs w:val="22"/>
        </w:rPr>
        <w:t>V případě požadavku dodavatele na povolení vzdáleného přístupu pro více než dva zaměstnance dodavatele zajistí KZ požadovaný vzdálený přístup jen za podmínky, že dodavatel s KZ nejprve sjedná způsob kompenzace nákladů, které musí KZ vynaložit na pořízení licencí, potřebných pro vzdálený přístup dalších zaměstnanců dodavatele</w:t>
      </w:r>
      <w:r w:rsidR="00EC2C8D">
        <w:rPr>
          <w:rFonts w:asciiTheme="minorHAnsi" w:hAnsiTheme="minorHAnsi" w:cstheme="minorHAnsi"/>
          <w:sz w:val="22"/>
          <w:szCs w:val="22"/>
        </w:rPr>
        <w:t>.</w:t>
      </w:r>
      <w:r w:rsidR="005B7059" w:rsidRPr="009233EC">
        <w:rPr>
          <w:rFonts w:ascii="Calibri" w:hAnsi="Calibri"/>
          <w:sz w:val="22"/>
          <w:szCs w:val="22"/>
        </w:rPr>
        <w:t xml:space="preserve"> </w:t>
      </w:r>
    </w:p>
    <w:p w14:paraId="5F540EC6" w14:textId="77777777" w:rsidR="00AD7755" w:rsidRPr="003D216A" w:rsidRDefault="00AD7755" w:rsidP="00AD7755">
      <w:pPr>
        <w:pStyle w:val="Normln1"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216A">
        <w:rPr>
          <w:rFonts w:asciiTheme="minorHAnsi" w:hAnsiTheme="minorHAnsi" w:cstheme="minorHAnsi"/>
          <w:sz w:val="22"/>
          <w:szCs w:val="22"/>
        </w:rPr>
        <w:t>Pro vzdálený přístup každého dalšího zaměstnance dodavatele musí KZ pořídit následující licence:</w:t>
      </w:r>
    </w:p>
    <w:p w14:paraId="36C7B0C0" w14:textId="77777777" w:rsidR="00AD7755" w:rsidRPr="003D216A" w:rsidRDefault="00AD7755" w:rsidP="00AD7755">
      <w:pPr>
        <w:pStyle w:val="Normln1"/>
        <w:numPr>
          <w:ilvl w:val="0"/>
          <w:numId w:val="2"/>
        </w:numPr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216A">
        <w:rPr>
          <w:rFonts w:asciiTheme="minorHAnsi" w:hAnsiTheme="minorHAnsi" w:cstheme="minorHAnsi"/>
          <w:sz w:val="22"/>
          <w:szCs w:val="22"/>
        </w:rPr>
        <w:t xml:space="preserve">AAA-03788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Win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Server User CALSA (Microsoft Windows Server User CAL Lic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3D216A">
        <w:rPr>
          <w:rFonts w:asciiTheme="minorHAnsi" w:hAnsiTheme="minorHAnsi" w:cstheme="minorHAnsi"/>
          <w:sz w:val="22"/>
          <w:szCs w:val="22"/>
        </w:rPr>
        <w:t xml:space="preserve">SA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Pack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>)</w:t>
      </w:r>
    </w:p>
    <w:p w14:paraId="25D48207" w14:textId="7A06E208" w:rsidR="00AD7755" w:rsidRPr="003D216A" w:rsidRDefault="00AD7755" w:rsidP="00AD7755">
      <w:pPr>
        <w:pStyle w:val="Normln1"/>
        <w:numPr>
          <w:ilvl w:val="0"/>
          <w:numId w:val="2"/>
        </w:numPr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216A">
        <w:rPr>
          <w:rFonts w:asciiTheme="minorHAnsi" w:hAnsiTheme="minorHAnsi" w:cstheme="minorHAnsi"/>
          <w:sz w:val="22"/>
          <w:szCs w:val="22"/>
        </w:rPr>
        <w:t xml:space="preserve">AAA-03871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Win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RDS User CAL (Microsoft Windows Server 2019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Remote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Desktop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Services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User CAL) </w:t>
      </w:r>
    </w:p>
    <w:p w14:paraId="648D1CEF" w14:textId="77777777" w:rsidR="00AD7755" w:rsidRPr="003D216A" w:rsidRDefault="00AD7755" w:rsidP="00AD7755">
      <w:pPr>
        <w:pStyle w:val="Normln1"/>
        <w:suppressLineNumber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216A">
        <w:rPr>
          <w:rFonts w:asciiTheme="minorHAnsi" w:hAnsiTheme="minorHAnsi" w:cstheme="minorHAnsi"/>
          <w:sz w:val="22"/>
          <w:szCs w:val="22"/>
        </w:rPr>
        <w:t xml:space="preserve">Licence budou pořízeny v rámci multilicenční smlouvy Microsoft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Products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Services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216A">
        <w:rPr>
          <w:rFonts w:asciiTheme="minorHAnsi" w:hAnsiTheme="minorHAnsi" w:cstheme="minorHAnsi"/>
          <w:sz w:val="22"/>
          <w:szCs w:val="22"/>
        </w:rPr>
        <w:t>Agreement</w:t>
      </w:r>
      <w:proofErr w:type="spellEnd"/>
      <w:r w:rsidRPr="003D216A">
        <w:rPr>
          <w:rFonts w:asciiTheme="minorHAnsi" w:hAnsiTheme="minorHAnsi" w:cstheme="minorHAnsi"/>
          <w:sz w:val="22"/>
          <w:szCs w:val="22"/>
        </w:rPr>
        <w:t xml:space="preserve"> (MPSA), uzavřené mezi KZ a společností Microsoft, za ceny vycházející z aktuálního ceníku doporučených cen, vydan</w:t>
      </w:r>
      <w:r>
        <w:rPr>
          <w:rFonts w:asciiTheme="minorHAnsi" w:hAnsiTheme="minorHAnsi" w:cstheme="minorHAnsi"/>
          <w:sz w:val="22"/>
          <w:szCs w:val="22"/>
        </w:rPr>
        <w:t>ého</w:t>
      </w:r>
      <w:r w:rsidRPr="003D216A">
        <w:rPr>
          <w:rFonts w:asciiTheme="minorHAnsi" w:hAnsiTheme="minorHAnsi" w:cstheme="minorHAnsi"/>
          <w:sz w:val="22"/>
          <w:szCs w:val="22"/>
        </w:rPr>
        <w:t xml:space="preserve"> společností Microsoft.  </w:t>
      </w:r>
    </w:p>
    <w:p w14:paraId="7C4E34FF" w14:textId="77777777" w:rsidR="00AD7755" w:rsidRDefault="00AD7755" w:rsidP="005F0975">
      <w:pPr>
        <w:pStyle w:val="Normln1"/>
        <w:suppressLineNumbers/>
        <w:spacing w:line="276" w:lineRule="auto"/>
        <w:jc w:val="both"/>
      </w:pPr>
    </w:p>
    <w:sectPr w:rsidR="00AD7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FC9D84" w16cid:durableId="2357B6B3"/>
  <w16cid:commentId w16cid:paraId="05E7C9D1" w16cid:durableId="2360E633"/>
  <w16cid:commentId w16cid:paraId="42928DFD" w16cid:durableId="2362153A"/>
  <w16cid:commentId w16cid:paraId="6CED0136" w16cid:durableId="2353C7B3"/>
  <w16cid:commentId w16cid:paraId="4D4FD019" w16cid:durableId="2360E637"/>
  <w16cid:commentId w16cid:paraId="1C9001BD" w16cid:durableId="2362365C"/>
  <w16cid:commentId w16cid:paraId="11D92BE5" w16cid:durableId="2357B6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B4E80"/>
    <w:multiLevelType w:val="hybridMultilevel"/>
    <w:tmpl w:val="853CBF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553344B"/>
    <w:multiLevelType w:val="hybridMultilevel"/>
    <w:tmpl w:val="F216C6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61002"/>
    <w:multiLevelType w:val="hybridMultilevel"/>
    <w:tmpl w:val="180C0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94BAF"/>
    <w:multiLevelType w:val="hybridMultilevel"/>
    <w:tmpl w:val="EA38ED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2A"/>
    <w:rsid w:val="00032991"/>
    <w:rsid w:val="00036D76"/>
    <w:rsid w:val="00077C69"/>
    <w:rsid w:val="00100181"/>
    <w:rsid w:val="001308F3"/>
    <w:rsid w:val="00174260"/>
    <w:rsid w:val="001D077F"/>
    <w:rsid w:val="001D5218"/>
    <w:rsid w:val="00233380"/>
    <w:rsid w:val="002C16F4"/>
    <w:rsid w:val="002E7C8F"/>
    <w:rsid w:val="002F1010"/>
    <w:rsid w:val="004015AC"/>
    <w:rsid w:val="004C1EED"/>
    <w:rsid w:val="005150CC"/>
    <w:rsid w:val="005219EF"/>
    <w:rsid w:val="005677B4"/>
    <w:rsid w:val="005B3823"/>
    <w:rsid w:val="005B7059"/>
    <w:rsid w:val="005F0975"/>
    <w:rsid w:val="0060293C"/>
    <w:rsid w:val="006577C3"/>
    <w:rsid w:val="0068002A"/>
    <w:rsid w:val="006D4770"/>
    <w:rsid w:val="00705B70"/>
    <w:rsid w:val="007353E1"/>
    <w:rsid w:val="00787E50"/>
    <w:rsid w:val="007A1277"/>
    <w:rsid w:val="007C6FD9"/>
    <w:rsid w:val="00844ADC"/>
    <w:rsid w:val="00866C2A"/>
    <w:rsid w:val="00875884"/>
    <w:rsid w:val="008A59C2"/>
    <w:rsid w:val="008E4CB5"/>
    <w:rsid w:val="009354C4"/>
    <w:rsid w:val="009C77F5"/>
    <w:rsid w:val="009D7D50"/>
    <w:rsid w:val="00A109D7"/>
    <w:rsid w:val="00A42300"/>
    <w:rsid w:val="00A55C1B"/>
    <w:rsid w:val="00A74A5F"/>
    <w:rsid w:val="00AD7755"/>
    <w:rsid w:val="00AE3EC2"/>
    <w:rsid w:val="00B1123A"/>
    <w:rsid w:val="00B27227"/>
    <w:rsid w:val="00BA2F24"/>
    <w:rsid w:val="00D72AA6"/>
    <w:rsid w:val="00D93A97"/>
    <w:rsid w:val="00DC2BB6"/>
    <w:rsid w:val="00E2274F"/>
    <w:rsid w:val="00E3264D"/>
    <w:rsid w:val="00E64701"/>
    <w:rsid w:val="00EC2BE2"/>
    <w:rsid w:val="00EC2C8D"/>
    <w:rsid w:val="00F01814"/>
    <w:rsid w:val="00F559EC"/>
    <w:rsid w:val="00F60C74"/>
    <w:rsid w:val="00FC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4336"/>
  <w15:docId w15:val="{4B27442E-360B-4D65-A822-B51CB00A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2B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2B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C2B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C2B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C2B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DC2B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D93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36D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6D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6D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6D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6D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6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6D76"/>
    <w:rPr>
      <w:rFonts w:ascii="Segoe UI" w:hAnsi="Segoe UI" w:cs="Segoe UI"/>
      <w:sz w:val="18"/>
      <w:szCs w:val="18"/>
    </w:rPr>
  </w:style>
  <w:style w:type="paragraph" w:customStyle="1" w:styleId="Normln1">
    <w:name w:val="Normální1"/>
    <w:rsid w:val="005B7059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74A5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C1EED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4C1E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1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stapro.cz/produkty-fons/fons-enterprise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D10A064583D429E3218C50D94C649" ma:contentTypeVersion="0" ma:contentTypeDescription="Vytvoří nový dokument" ma:contentTypeScope="" ma:versionID="5c8bb1eed6344ba2a58c9d36a54ab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F791-66A0-4801-AA02-464668079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F7CE0B-5E89-45E0-8CCE-A3AB307CAF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45279-B097-46B4-B0CB-AB44E2948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CFD5B6-849D-47CD-82A5-E2DA25B2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Valenta Václav</dc:creator>
  <cp:keywords/>
  <dc:description/>
  <cp:lastModifiedBy>Sedláčková Ivana</cp:lastModifiedBy>
  <cp:revision>3</cp:revision>
  <cp:lastPrinted>2021-06-07T16:06:00Z</cp:lastPrinted>
  <dcterms:created xsi:type="dcterms:W3CDTF">2021-06-07T16:06:00Z</dcterms:created>
  <dcterms:modified xsi:type="dcterms:W3CDTF">2021-07-22T12:38:00Z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0x010100B85D10A064583D429E3218C50D94C649</vt:lpwstr>
  </property>
</Properties>
</file>